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9E5" w:rsidRDefault="00D879E5" w:rsidP="00D879E5">
      <w:pPr>
        <w:pStyle w:val="StandardWeb"/>
        <w:spacing w:after="270" w:afterAutospacing="0" w:line="270" w:lineRule="atLeast"/>
        <w:rPr>
          <w:rFonts w:ascii="Helvetica" w:hAnsi="Helvetica"/>
          <w:b/>
          <w:bCs/>
          <w:color w:val="000000"/>
          <w:sz w:val="18"/>
          <w:szCs w:val="18"/>
        </w:rPr>
      </w:pPr>
      <w:r>
        <w:rPr>
          <w:rFonts w:ascii="Helvetica" w:hAnsi="Helvetica"/>
          <w:b/>
          <w:noProof/>
          <w:color w:val="000000"/>
          <w:sz w:val="18"/>
          <w:szCs w:val="18"/>
        </w:rPr>
        <w:drawing>
          <wp:inline distT="0" distB="0" distL="0" distR="0">
            <wp:extent cx="1905000" cy="276225"/>
            <wp:effectExtent l="0" t="0" r="0" b="9525"/>
            <wp:docPr id="1" name="Grafik 1" descr="Dittri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ittric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76225"/>
                    </a:xfrm>
                    <a:prstGeom prst="rect">
                      <a:avLst/>
                    </a:prstGeom>
                    <a:noFill/>
                    <a:ln>
                      <a:noFill/>
                    </a:ln>
                  </pic:spPr>
                </pic:pic>
              </a:graphicData>
            </a:graphic>
          </wp:inline>
        </w:drawing>
      </w:r>
    </w:p>
    <w:p w:rsidR="00D879E5" w:rsidRDefault="00D879E5" w:rsidP="00D879E5">
      <w:pPr>
        <w:pStyle w:val="StandardWeb"/>
        <w:spacing w:after="270" w:afterAutospacing="0" w:line="270" w:lineRule="atLeast"/>
        <w:rPr>
          <w:rFonts w:ascii="Helvetica" w:hAnsi="Helvetica"/>
          <w:b/>
          <w:bCs/>
          <w:color w:val="5C556F"/>
          <w:sz w:val="18"/>
          <w:szCs w:val="18"/>
        </w:rPr>
      </w:pPr>
      <w:r>
        <w:rPr>
          <w:rFonts w:ascii="Helvetica" w:hAnsi="Helvetica"/>
          <w:b/>
          <w:bCs/>
          <w:color w:val="5C556F"/>
          <w:sz w:val="18"/>
          <w:szCs w:val="18"/>
        </w:rPr>
        <w:t>Wolfgang Dittrich GmbH</w:t>
      </w:r>
      <w:r>
        <w:rPr>
          <w:rFonts w:ascii="Helvetica" w:hAnsi="Helvetica"/>
          <w:b/>
          <w:bCs/>
          <w:color w:val="5C556F"/>
          <w:sz w:val="18"/>
          <w:szCs w:val="18"/>
        </w:rPr>
        <w:br/>
        <w:t>Steuerberatungsgesellschaft</w:t>
      </w:r>
      <w:r>
        <w:rPr>
          <w:rFonts w:ascii="Helvetica" w:hAnsi="Helvetica"/>
          <w:b/>
          <w:bCs/>
          <w:color w:val="5C556F"/>
          <w:sz w:val="18"/>
          <w:szCs w:val="18"/>
        </w:rPr>
        <w:br/>
        <w:t>Wirtschaftsprüfungsgesellschaft</w:t>
      </w:r>
    </w:p>
    <w:p w:rsidR="00D879E5" w:rsidRDefault="00D879E5" w:rsidP="00184533">
      <w:pPr>
        <w:rPr>
          <w:rFonts w:eastAsia="Times New Roman"/>
          <w:b/>
          <w:sz w:val="18"/>
          <w:szCs w:val="18"/>
          <w:lang w:eastAsia="de-DE"/>
        </w:rPr>
      </w:pPr>
    </w:p>
    <w:p w:rsidR="00D879E5" w:rsidRDefault="00D879E5" w:rsidP="00184533">
      <w:pPr>
        <w:rPr>
          <w:rFonts w:eastAsia="Times New Roman"/>
          <w:b/>
          <w:sz w:val="18"/>
          <w:szCs w:val="18"/>
          <w:lang w:eastAsia="de-DE"/>
        </w:rPr>
      </w:pPr>
    </w:p>
    <w:p w:rsidR="00184533" w:rsidRPr="00D879E5" w:rsidRDefault="00184533" w:rsidP="00184533">
      <w:pPr>
        <w:rPr>
          <w:rFonts w:eastAsia="Times New Roman"/>
          <w:b/>
          <w:lang w:eastAsia="de-DE"/>
        </w:rPr>
      </w:pPr>
      <w:r w:rsidRPr="00D879E5">
        <w:rPr>
          <w:rFonts w:eastAsia="Times New Roman"/>
          <w:b/>
          <w:lang w:eastAsia="de-DE"/>
        </w:rPr>
        <w:t xml:space="preserve">Checkliste für Rückstellungen </w:t>
      </w:r>
    </w:p>
    <w:p w:rsidR="00184533" w:rsidRPr="00D879E5" w:rsidRDefault="00184533" w:rsidP="00184533">
      <w:pPr>
        <w:rPr>
          <w:rFonts w:eastAsia="Times New Roman"/>
          <w:lang w:eastAsia="de-DE"/>
        </w:rPr>
      </w:pPr>
    </w:p>
    <w:p w:rsidR="00184533" w:rsidRPr="00D879E5" w:rsidRDefault="00184533" w:rsidP="00184533">
      <w:pPr>
        <w:rPr>
          <w:rFonts w:eastAsia="Times New Roman"/>
          <w:lang w:eastAsia="de-DE"/>
        </w:rPr>
      </w:pPr>
      <w:r w:rsidRPr="00D879E5">
        <w:rPr>
          <w:rFonts w:eastAsia="Times New Roman"/>
          <w:lang w:eastAsia="de-DE"/>
        </w:rPr>
        <w:t>Als Rückstellungen werden Verbindlichkeiten des Unternehmens ausgewiesen, die entweder dem Grunde nach oder der Höhe nach ungewiss sind. Durch die Rückstellungsbildung können Sie vermeiden, dass Ihr Unternehmen Steuern auf Gewinne zahlen muss, die so tatsächlich nicht angefallen sind. Naturgemäß bieten Rückstellungen größere Ermessensspielräume und können so auch zur zielgerichteten Steuerung des steuerlichen Ergebnisses verwendet werden. Bei bilanzierenden Unternehmen gehören deshalb Rückstellungen zu den wichtigsten Bilanzposten überhaupt.</w:t>
      </w:r>
    </w:p>
    <w:p w:rsidR="00184533" w:rsidRPr="00D879E5" w:rsidRDefault="00184533" w:rsidP="00184533">
      <w:pPr>
        <w:rPr>
          <w:rFonts w:eastAsia="Times New Roman"/>
          <w:lang w:eastAsia="de-DE"/>
        </w:rPr>
      </w:pPr>
      <w:r w:rsidRPr="00D879E5">
        <w:rPr>
          <w:rFonts w:eastAsia="Times New Roman"/>
          <w:lang w:eastAsia="de-DE"/>
        </w:rPr>
        <w:t xml:space="preserve">Beispiel: </w:t>
      </w:r>
      <w:r w:rsidRPr="00D879E5">
        <w:rPr>
          <w:rFonts w:eastAsia="Times New Roman"/>
          <w:lang w:eastAsia="de-DE"/>
        </w:rPr>
        <w:br/>
        <w:t xml:space="preserve">1. Ein Unternehmen wurde wegen einer Patentverletzung auf Schadenersatz verklagt. Es ist dem Grunde nach ungewiss, ob der Prozess gewonnen oder verloren wird. </w:t>
      </w:r>
      <w:r w:rsidRPr="00D879E5">
        <w:rPr>
          <w:rFonts w:eastAsia="Times New Roman"/>
          <w:lang w:eastAsia="de-DE"/>
        </w:rPr>
        <w:br/>
        <w:t>2. Ein Unternehmen erwartet für das abgelaufene Geschäftsjahr noch eine Nebenkostenabrechnung des Vermieters. Die Höhe ist jedoch unbekannt.</w:t>
      </w:r>
    </w:p>
    <w:p w:rsidR="00184533" w:rsidRPr="00D879E5" w:rsidRDefault="00184533" w:rsidP="00184533">
      <w:pPr>
        <w:rPr>
          <w:rFonts w:eastAsia="Times New Roman"/>
          <w:lang w:eastAsia="de-DE"/>
        </w:rPr>
      </w:pPr>
      <w:r w:rsidRPr="00D879E5">
        <w:rPr>
          <w:rFonts w:eastAsia="Times New Roman"/>
          <w:lang w:eastAsia="de-DE"/>
        </w:rPr>
        <w:t>Gegenforderungen müssen bei der Rückstellungsberechnung mindernd berücksichtigt werden.</w:t>
      </w:r>
    </w:p>
    <w:p w:rsidR="00184533" w:rsidRPr="00D879E5" w:rsidRDefault="00184533" w:rsidP="00184533">
      <w:pPr>
        <w:rPr>
          <w:rFonts w:eastAsia="Times New Roman"/>
          <w:lang w:eastAsia="de-DE"/>
        </w:rPr>
      </w:pPr>
      <w:r w:rsidRPr="00D879E5">
        <w:rPr>
          <w:rFonts w:eastAsia="Times New Roman"/>
          <w:lang w:eastAsia="de-DE"/>
        </w:rPr>
        <w:t xml:space="preserve">Beispiel: </w:t>
      </w:r>
      <w:r w:rsidRPr="00D879E5">
        <w:rPr>
          <w:rFonts w:eastAsia="Times New Roman"/>
          <w:lang w:eastAsia="de-DE"/>
        </w:rPr>
        <w:br/>
        <w:t>Ein Bauunternehmen wird wegen Baumängeln in die Haftung genommen, kann jedoch Rückgriff auf die verantwortlichen Subunternehmer nehmen.</w:t>
      </w:r>
    </w:p>
    <w:p w:rsidR="00184533" w:rsidRPr="00D879E5" w:rsidRDefault="00184533" w:rsidP="00184533">
      <w:pPr>
        <w:rPr>
          <w:rFonts w:eastAsia="Times New Roman"/>
          <w:lang w:eastAsia="de-DE"/>
        </w:rPr>
      </w:pPr>
      <w:r w:rsidRPr="00D879E5">
        <w:rPr>
          <w:rFonts w:eastAsia="Times New Roman"/>
          <w:lang w:eastAsia="de-DE"/>
        </w:rPr>
        <w:t>Rückstellungen dienen also der periodengerechten Erfassung von Aufwendungen.</w:t>
      </w:r>
    </w:p>
    <w:p w:rsidR="00184533" w:rsidRPr="00D879E5" w:rsidRDefault="00184533" w:rsidP="00184533">
      <w:pPr>
        <w:rPr>
          <w:rFonts w:eastAsia="Times New Roman"/>
          <w:lang w:eastAsia="de-DE"/>
        </w:rPr>
      </w:pPr>
      <w:r w:rsidRPr="00D879E5">
        <w:rPr>
          <w:rFonts w:eastAsia="Times New Roman"/>
          <w:lang w:eastAsia="de-DE"/>
        </w:rPr>
        <w:t>Grundlage für die Bilanzierung ist immer die Handelsbilanz. Es sind jedoch nicht alle Rückstellungen, die handelsrechtlich erlaubt oder vorgeschrieben sind, auch steuerlich zugelassen. Bei der Berechnungsweise gibt es ebenfalls Unterschiede zwischen den handelsrechtlichen und steuerrechtlichen Vorgaben.</w:t>
      </w:r>
    </w:p>
    <w:p w:rsidR="00184533" w:rsidRPr="00D879E5" w:rsidRDefault="00184533" w:rsidP="00184533">
      <w:pPr>
        <w:rPr>
          <w:rFonts w:eastAsia="Times New Roman"/>
          <w:lang w:eastAsia="de-DE"/>
        </w:rPr>
      </w:pPr>
      <w:r w:rsidRPr="00D879E5">
        <w:rPr>
          <w:rFonts w:eastAsia="Times New Roman"/>
          <w:lang w:eastAsia="de-DE"/>
        </w:rPr>
        <w:t>Langfristige Rückstellungen (&gt; 1 Jahr) werden abgezinst und nur mit dem sogenannten Barwert angesetzt.</w:t>
      </w:r>
    </w:p>
    <w:p w:rsidR="00184533" w:rsidRPr="00D879E5" w:rsidRDefault="00184533" w:rsidP="00184533">
      <w:pPr>
        <w:rPr>
          <w:rFonts w:eastAsia="Times New Roman"/>
          <w:lang w:eastAsia="de-DE"/>
        </w:rPr>
      </w:pPr>
      <w:r w:rsidRPr="00D879E5">
        <w:rPr>
          <w:rFonts w:eastAsia="Times New Roman"/>
          <w:lang w:eastAsia="de-DE"/>
        </w:rPr>
        <w:t xml:space="preserve">Hier finden Sie eine Übersicht zu den </w:t>
      </w:r>
      <w:proofErr w:type="gramStart"/>
      <w:r w:rsidRPr="00D879E5">
        <w:rPr>
          <w:rFonts w:eastAsia="Times New Roman"/>
          <w:lang w:eastAsia="de-DE"/>
        </w:rPr>
        <w:t>am häufigsten gebildeten Rückstellungen</w:t>
      </w:r>
      <w:proofErr w:type="gramEnd"/>
      <w:r w:rsidRPr="00D879E5">
        <w:rPr>
          <w:rFonts w:eastAsia="Times New Roman"/>
          <w:lang w:eastAsia="de-DE"/>
        </w:rPr>
        <w:t>. Können bzw. müssen</w:t>
      </w:r>
      <w:r w:rsidR="00D879E5" w:rsidRPr="00D879E5">
        <w:rPr>
          <w:rFonts w:eastAsia="Times New Roman"/>
          <w:lang w:eastAsia="de-DE"/>
        </w:rPr>
        <w:t xml:space="preserve"> in Ihrem Unternehmen weitere</w:t>
      </w:r>
      <w:r w:rsidRPr="00D879E5">
        <w:rPr>
          <w:rFonts w:eastAsia="Times New Roman"/>
          <w:lang w:eastAsia="de-DE"/>
        </w:rPr>
        <w:t xml:space="preserve"> Rückstellungen gebildet werden?</w:t>
      </w:r>
    </w:p>
    <w:p w:rsidR="00184533" w:rsidRPr="00D879E5" w:rsidRDefault="00184533" w:rsidP="00184533">
      <w:pPr>
        <w:rPr>
          <w:rFonts w:eastAsia="Times New Roman"/>
          <w:lang w:eastAsia="de-DE"/>
        </w:rPr>
      </w:pPr>
    </w:p>
    <w:p w:rsidR="00600E7B" w:rsidRPr="00D879E5" w:rsidRDefault="00600E7B" w:rsidP="00184533">
      <w:pPr>
        <w:rPr>
          <w:rFonts w:eastAsia="Times New Roman"/>
          <w:lang w:eastAsia="de-DE"/>
        </w:rPr>
      </w:pPr>
    </w:p>
    <w:p w:rsidR="00F209E8" w:rsidRPr="00D879E5" w:rsidRDefault="00184533" w:rsidP="00184533">
      <w:pPr>
        <w:rPr>
          <w:rFonts w:eastAsia="Times New Roman"/>
          <w:b/>
          <w:bCs/>
          <w:lang w:eastAsia="de-DE"/>
        </w:rPr>
      </w:pPr>
      <w:r w:rsidRPr="00D879E5">
        <w:rPr>
          <w:rFonts w:eastAsia="Times New Roman"/>
          <w:b/>
          <w:bCs/>
          <w:lang w:eastAsia="de-DE"/>
        </w:rPr>
        <w:t xml:space="preserve">Checkliste </w:t>
      </w:r>
    </w:p>
    <w:p w:rsidR="00184533" w:rsidRPr="00D879E5" w:rsidRDefault="00184533" w:rsidP="00184533">
      <w:pPr>
        <w:rPr>
          <w:rFonts w:eastAsia="Times New Roman"/>
          <w:lang w:eastAsia="de-DE"/>
        </w:rPr>
      </w:pPr>
      <w:r w:rsidRPr="00D879E5">
        <w:rPr>
          <w:rFonts w:eastAsia="Times New Roman"/>
          <w:lang w:eastAsia="de-DE"/>
        </w:rPr>
        <w:br/>
        <w:t xml:space="preserve">• Abbruchverpflichtungen </w:t>
      </w:r>
      <w:r w:rsidRPr="00D879E5">
        <w:rPr>
          <w:rFonts w:eastAsia="Times New Roman"/>
          <w:lang w:eastAsia="de-DE"/>
        </w:rPr>
        <w:br/>
        <w:t xml:space="preserve">• Abfindungen an ausgeschiedene Mitarbeiter </w:t>
      </w:r>
      <w:r w:rsidRPr="00D879E5">
        <w:rPr>
          <w:rFonts w:eastAsia="Times New Roman"/>
          <w:lang w:eastAsia="de-DE"/>
        </w:rPr>
        <w:br/>
        <w:t xml:space="preserve">• Abraumbeseitigung </w:t>
      </w:r>
      <w:r w:rsidRPr="00D879E5">
        <w:rPr>
          <w:rFonts w:eastAsia="Times New Roman"/>
          <w:lang w:eastAsia="de-DE"/>
        </w:rPr>
        <w:br/>
        <w:t xml:space="preserve">• Altersteilzeit </w:t>
      </w:r>
      <w:r w:rsidRPr="00D879E5">
        <w:rPr>
          <w:rFonts w:eastAsia="Times New Roman"/>
          <w:lang w:eastAsia="de-DE"/>
        </w:rPr>
        <w:br/>
        <w:t xml:space="preserve">• Altlastensanierung </w:t>
      </w:r>
      <w:r w:rsidRPr="00D879E5">
        <w:rPr>
          <w:rFonts w:eastAsia="Times New Roman"/>
          <w:lang w:eastAsia="de-DE"/>
        </w:rPr>
        <w:br/>
        <w:t xml:space="preserve">• Archivierung </w:t>
      </w:r>
      <w:r w:rsidRPr="00D879E5">
        <w:rPr>
          <w:rFonts w:eastAsia="Times New Roman"/>
          <w:lang w:eastAsia="de-DE"/>
        </w:rPr>
        <w:br/>
        <w:t xml:space="preserve">• Aufbewahrung von Geschäftsunterlagen </w:t>
      </w:r>
      <w:r w:rsidRPr="00D879E5">
        <w:rPr>
          <w:rFonts w:eastAsia="Times New Roman"/>
          <w:lang w:eastAsia="de-DE"/>
        </w:rPr>
        <w:br/>
        <w:t xml:space="preserve">• Aufsichtsratsvergütung </w:t>
      </w:r>
      <w:r w:rsidRPr="00D879E5">
        <w:rPr>
          <w:rFonts w:eastAsia="Times New Roman"/>
          <w:lang w:eastAsia="de-DE"/>
        </w:rPr>
        <w:br/>
        <w:t xml:space="preserve">• Ausgleichsansprüche der Handelsvertreter </w:t>
      </w:r>
      <w:r w:rsidRPr="00D879E5">
        <w:rPr>
          <w:rFonts w:eastAsia="Times New Roman"/>
          <w:lang w:eastAsia="de-DE"/>
        </w:rPr>
        <w:br/>
        <w:t xml:space="preserve">• Ausstehende Rechnungen </w:t>
      </w:r>
      <w:r w:rsidRPr="00D879E5">
        <w:rPr>
          <w:rFonts w:eastAsia="Times New Roman"/>
          <w:lang w:eastAsia="de-DE"/>
        </w:rPr>
        <w:br/>
        <w:t xml:space="preserve">• Beihilfe </w:t>
      </w:r>
      <w:r w:rsidRPr="00D879E5">
        <w:rPr>
          <w:rFonts w:eastAsia="Times New Roman"/>
          <w:lang w:eastAsia="de-DE"/>
        </w:rPr>
        <w:br/>
        <w:t xml:space="preserve">• Beiträge IHK/ Handwerkskammer </w:t>
      </w:r>
      <w:r w:rsidRPr="00D879E5">
        <w:rPr>
          <w:rFonts w:eastAsia="Times New Roman"/>
          <w:lang w:eastAsia="de-DE"/>
        </w:rPr>
        <w:br/>
      </w:r>
      <w:r w:rsidRPr="00D879E5">
        <w:rPr>
          <w:rFonts w:eastAsia="Times New Roman"/>
          <w:lang w:eastAsia="de-DE"/>
        </w:rPr>
        <w:lastRenderedPageBreak/>
        <w:t xml:space="preserve">• Berufsgenossenschaftsbeiträge </w:t>
      </w:r>
      <w:r w:rsidRPr="00D879E5">
        <w:rPr>
          <w:rFonts w:eastAsia="Times New Roman"/>
          <w:lang w:eastAsia="de-DE"/>
        </w:rPr>
        <w:br/>
        <w:t xml:space="preserve">• Betriebsprüfungskosten </w:t>
      </w:r>
      <w:r w:rsidRPr="00D879E5">
        <w:rPr>
          <w:rFonts w:eastAsia="Times New Roman"/>
          <w:lang w:eastAsia="de-DE"/>
        </w:rPr>
        <w:br/>
        <w:t xml:space="preserve">• Bonusverpflichtungen </w:t>
      </w:r>
      <w:r w:rsidRPr="00D879E5">
        <w:rPr>
          <w:rFonts w:eastAsia="Times New Roman"/>
          <w:lang w:eastAsia="de-DE"/>
        </w:rPr>
        <w:br/>
        <w:t xml:space="preserve">• Buchführungsarbeiten </w:t>
      </w:r>
      <w:r w:rsidRPr="00D879E5">
        <w:rPr>
          <w:rFonts w:eastAsia="Times New Roman"/>
          <w:lang w:eastAsia="de-DE"/>
        </w:rPr>
        <w:br/>
        <w:t xml:space="preserve">• Bürgschaftsübernahmeverpflichtungen </w:t>
      </w:r>
      <w:r w:rsidRPr="00D879E5">
        <w:rPr>
          <w:rFonts w:eastAsia="Times New Roman"/>
          <w:lang w:eastAsia="de-DE"/>
        </w:rPr>
        <w:br/>
        <w:t xml:space="preserve">• Devisentermin- und Devisenoptionsgeschäfte </w:t>
      </w:r>
      <w:r w:rsidRPr="00D879E5">
        <w:rPr>
          <w:rFonts w:eastAsia="Times New Roman"/>
          <w:lang w:eastAsia="de-DE"/>
        </w:rPr>
        <w:br/>
        <w:t xml:space="preserve">• Drohverlustrückstellung </w:t>
      </w:r>
      <w:r w:rsidRPr="00D879E5">
        <w:rPr>
          <w:rFonts w:eastAsia="Times New Roman"/>
          <w:lang w:eastAsia="de-DE"/>
        </w:rPr>
        <w:br/>
        <w:t xml:space="preserve">• Garantieverpflichtungen (Gewährleistungen) </w:t>
      </w:r>
      <w:r w:rsidRPr="00D879E5">
        <w:rPr>
          <w:rFonts w:eastAsia="Times New Roman"/>
          <w:lang w:eastAsia="de-DE"/>
        </w:rPr>
        <w:br/>
        <w:t xml:space="preserve">• Gewinnbeteiligungszusagen, Gratifikationen, Tantiemen </w:t>
      </w:r>
      <w:r w:rsidRPr="00D879E5">
        <w:rPr>
          <w:rFonts w:eastAsia="Times New Roman"/>
          <w:lang w:eastAsia="de-DE"/>
        </w:rPr>
        <w:br/>
        <w:t xml:space="preserve">• Haftpflichtverbindlichkeiten, insbesondere Produkthaftpflichtrisiken </w:t>
      </w:r>
      <w:r w:rsidRPr="00D879E5">
        <w:rPr>
          <w:rFonts w:eastAsia="Times New Roman"/>
          <w:lang w:eastAsia="de-DE"/>
        </w:rPr>
        <w:br/>
        <w:t xml:space="preserve">• Hauptversammlung </w:t>
      </w:r>
      <w:r w:rsidRPr="00D879E5">
        <w:rPr>
          <w:rFonts w:eastAsia="Times New Roman"/>
          <w:lang w:eastAsia="de-DE"/>
        </w:rPr>
        <w:br/>
        <w:t xml:space="preserve">• Instandhaltung, unterlassene </w:t>
      </w:r>
      <w:r w:rsidRPr="00D879E5">
        <w:rPr>
          <w:rFonts w:eastAsia="Times New Roman"/>
          <w:lang w:eastAsia="de-DE"/>
        </w:rPr>
        <w:br/>
        <w:t xml:space="preserve">• Jahresabschlusskosten </w:t>
      </w:r>
      <w:r w:rsidRPr="00D879E5">
        <w:rPr>
          <w:rFonts w:eastAsia="Times New Roman"/>
          <w:lang w:eastAsia="de-DE"/>
        </w:rPr>
        <w:br/>
        <w:t xml:space="preserve">• Jubiläumsaufwendungen </w:t>
      </w:r>
      <w:r w:rsidRPr="00D879E5">
        <w:rPr>
          <w:rFonts w:eastAsia="Times New Roman"/>
          <w:lang w:eastAsia="de-DE"/>
        </w:rPr>
        <w:br/>
        <w:t xml:space="preserve">• Konzernhaftung </w:t>
      </w:r>
      <w:r w:rsidRPr="00D879E5">
        <w:rPr>
          <w:rFonts w:eastAsia="Times New Roman"/>
          <w:lang w:eastAsia="de-DE"/>
        </w:rPr>
        <w:br/>
        <w:t xml:space="preserve">• Kulanzleistungen </w:t>
      </w:r>
      <w:r w:rsidRPr="00D879E5">
        <w:rPr>
          <w:rFonts w:eastAsia="Times New Roman"/>
          <w:lang w:eastAsia="de-DE"/>
        </w:rPr>
        <w:br/>
        <w:t xml:space="preserve">• Mutterschutz </w:t>
      </w:r>
      <w:r w:rsidRPr="00D879E5">
        <w:rPr>
          <w:rFonts w:eastAsia="Times New Roman"/>
          <w:lang w:eastAsia="de-DE"/>
        </w:rPr>
        <w:br/>
        <w:t xml:space="preserve">• Nachbetreuungsleistungen </w:t>
      </w:r>
      <w:r w:rsidRPr="00D879E5">
        <w:rPr>
          <w:rFonts w:eastAsia="Times New Roman"/>
          <w:lang w:eastAsia="de-DE"/>
        </w:rPr>
        <w:br/>
        <w:t xml:space="preserve">• Offenlegung/ Hinterlegung im Bundesanzeiger </w:t>
      </w:r>
      <w:r w:rsidRPr="00D879E5">
        <w:rPr>
          <w:rFonts w:eastAsia="Times New Roman"/>
          <w:lang w:eastAsia="de-DE"/>
        </w:rPr>
        <w:br/>
        <w:t xml:space="preserve">• Patent- und Markenzeichenverletzungen </w:t>
      </w:r>
      <w:r w:rsidRPr="00D879E5">
        <w:rPr>
          <w:rFonts w:eastAsia="Times New Roman"/>
          <w:lang w:eastAsia="de-DE"/>
        </w:rPr>
        <w:br/>
        <w:t xml:space="preserve">• Pensionssicherungsverein, Beiträge </w:t>
      </w:r>
      <w:r w:rsidRPr="00D879E5">
        <w:rPr>
          <w:rFonts w:eastAsia="Times New Roman"/>
          <w:lang w:eastAsia="de-DE"/>
        </w:rPr>
        <w:br/>
        <w:t xml:space="preserve">• Prozess-, Rechts- und Strafverteidigungskosten </w:t>
      </w:r>
      <w:bookmarkStart w:id="0" w:name="_GoBack"/>
      <w:bookmarkEnd w:id="0"/>
      <w:r w:rsidRPr="00D879E5">
        <w:rPr>
          <w:rFonts w:eastAsia="Times New Roman"/>
          <w:lang w:eastAsia="de-DE"/>
        </w:rPr>
        <w:br/>
        <w:t xml:space="preserve">• Prüfungskosten </w:t>
      </w:r>
      <w:r w:rsidRPr="00D879E5">
        <w:rPr>
          <w:rFonts w:eastAsia="Times New Roman"/>
          <w:lang w:eastAsia="de-DE"/>
        </w:rPr>
        <w:br/>
        <w:t xml:space="preserve">• Rekultivierungskosten </w:t>
      </w:r>
      <w:r w:rsidRPr="00D879E5">
        <w:rPr>
          <w:rFonts w:eastAsia="Times New Roman"/>
          <w:lang w:eastAsia="de-DE"/>
        </w:rPr>
        <w:br/>
        <w:t xml:space="preserve">• Rentenverpflichtungen/ Pensionsrückstellung </w:t>
      </w:r>
      <w:r w:rsidRPr="00D879E5">
        <w:rPr>
          <w:rFonts w:eastAsia="Times New Roman"/>
          <w:lang w:eastAsia="de-DE"/>
        </w:rPr>
        <w:br/>
        <w:t xml:space="preserve">• Schadensersatzverpflichtungen </w:t>
      </w:r>
      <w:r w:rsidRPr="00D879E5">
        <w:rPr>
          <w:rFonts w:eastAsia="Times New Roman"/>
          <w:lang w:eastAsia="de-DE"/>
        </w:rPr>
        <w:br/>
        <w:t xml:space="preserve">• Sicherheitsinspektion </w:t>
      </w:r>
      <w:r w:rsidRPr="00D879E5">
        <w:rPr>
          <w:rFonts w:eastAsia="Times New Roman"/>
          <w:lang w:eastAsia="de-DE"/>
        </w:rPr>
        <w:br/>
        <w:t xml:space="preserve">• Sozialpläne </w:t>
      </w:r>
      <w:r w:rsidRPr="00D879E5">
        <w:rPr>
          <w:rFonts w:eastAsia="Times New Roman"/>
          <w:lang w:eastAsia="de-DE"/>
        </w:rPr>
        <w:br/>
        <w:t xml:space="preserve">• Steuern </w:t>
      </w:r>
      <w:r w:rsidRPr="00D879E5">
        <w:rPr>
          <w:rFonts w:eastAsia="Times New Roman"/>
          <w:lang w:eastAsia="de-DE"/>
        </w:rPr>
        <w:br/>
        <w:t xml:space="preserve">• Stilllegung </w:t>
      </w:r>
      <w:r w:rsidRPr="00D879E5">
        <w:rPr>
          <w:rFonts w:eastAsia="Times New Roman"/>
          <w:lang w:eastAsia="de-DE"/>
        </w:rPr>
        <w:br/>
        <w:t xml:space="preserve">• Tantiemen </w:t>
      </w:r>
      <w:r w:rsidRPr="00D879E5">
        <w:rPr>
          <w:rFonts w:eastAsia="Times New Roman"/>
          <w:lang w:eastAsia="de-DE"/>
        </w:rPr>
        <w:br/>
        <w:t xml:space="preserve">• Überstunden </w:t>
      </w:r>
      <w:r w:rsidRPr="00D879E5">
        <w:rPr>
          <w:rFonts w:eastAsia="Times New Roman"/>
          <w:lang w:eastAsia="de-DE"/>
        </w:rPr>
        <w:br/>
        <w:t xml:space="preserve">• Umwelthaftung </w:t>
      </w:r>
      <w:r w:rsidRPr="00D879E5">
        <w:rPr>
          <w:rFonts w:eastAsia="Times New Roman"/>
          <w:lang w:eastAsia="de-DE"/>
        </w:rPr>
        <w:br/>
        <w:t xml:space="preserve">• Urlaubsverpflichtungen </w:t>
      </w:r>
      <w:r w:rsidRPr="00D879E5">
        <w:rPr>
          <w:rFonts w:eastAsia="Times New Roman"/>
          <w:lang w:eastAsia="de-DE"/>
        </w:rPr>
        <w:br/>
        <w:t xml:space="preserve">• Verlustübernahme </w:t>
      </w:r>
      <w:r w:rsidRPr="00D879E5">
        <w:rPr>
          <w:rFonts w:eastAsia="Times New Roman"/>
          <w:lang w:eastAsia="de-DE"/>
        </w:rPr>
        <w:br/>
        <w:t>• Weihnachtsgeld</w:t>
      </w:r>
    </w:p>
    <w:p w:rsidR="005F7C2F" w:rsidRPr="00D879E5" w:rsidRDefault="005F7C2F"/>
    <w:sectPr w:rsidR="005F7C2F" w:rsidRPr="00D879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533"/>
    <w:rsid w:val="00184533"/>
    <w:rsid w:val="005F7C2F"/>
    <w:rsid w:val="00600E7B"/>
    <w:rsid w:val="009A7A1F"/>
    <w:rsid w:val="00C04589"/>
    <w:rsid w:val="00D879E5"/>
    <w:rsid w:val="00F20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0DC2"/>
  <w15:docId w15:val="{60FB7045-45F3-4A28-B0D4-0DEB5819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7A1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00E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0E7B"/>
    <w:rPr>
      <w:rFonts w:ascii="Tahoma" w:hAnsi="Tahoma" w:cs="Tahoma"/>
      <w:sz w:val="16"/>
      <w:szCs w:val="16"/>
    </w:rPr>
  </w:style>
  <w:style w:type="paragraph" w:styleId="StandardWeb">
    <w:name w:val="Normal (Web)"/>
    <w:basedOn w:val="Standard"/>
    <w:uiPriority w:val="99"/>
    <w:semiHidden/>
    <w:unhideWhenUsed/>
    <w:rsid w:val="00D879E5"/>
    <w:pPr>
      <w:spacing w:before="100" w:beforeAutospacing="1" w:after="100" w:afterAutospacing="1"/>
    </w:pPr>
    <w:rPr>
      <w:rFonts w:eastAsia="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428241">
      <w:bodyDiv w:val="1"/>
      <w:marLeft w:val="0"/>
      <w:marRight w:val="0"/>
      <w:marTop w:val="0"/>
      <w:marBottom w:val="0"/>
      <w:divBdr>
        <w:top w:val="none" w:sz="0" w:space="0" w:color="auto"/>
        <w:left w:val="none" w:sz="0" w:space="0" w:color="auto"/>
        <w:bottom w:val="none" w:sz="0" w:space="0" w:color="auto"/>
        <w:right w:val="none" w:sz="0" w:space="0" w:color="auto"/>
      </w:divBdr>
      <w:divsChild>
        <w:div w:id="732854006">
          <w:marLeft w:val="0"/>
          <w:marRight w:val="0"/>
          <w:marTop w:val="0"/>
          <w:marBottom w:val="0"/>
          <w:divBdr>
            <w:top w:val="none" w:sz="0" w:space="0" w:color="auto"/>
            <w:left w:val="none" w:sz="0" w:space="0" w:color="auto"/>
            <w:bottom w:val="none" w:sz="0" w:space="0" w:color="auto"/>
            <w:right w:val="none" w:sz="0" w:space="0" w:color="auto"/>
          </w:divBdr>
          <w:divsChild>
            <w:div w:id="85158363">
              <w:marLeft w:val="0"/>
              <w:marRight w:val="0"/>
              <w:marTop w:val="0"/>
              <w:marBottom w:val="0"/>
              <w:divBdr>
                <w:top w:val="none" w:sz="0" w:space="0" w:color="auto"/>
                <w:left w:val="none" w:sz="0" w:space="0" w:color="auto"/>
                <w:bottom w:val="none" w:sz="0" w:space="0" w:color="auto"/>
                <w:right w:val="none" w:sz="0" w:space="0" w:color="auto"/>
              </w:divBdr>
              <w:divsChild>
                <w:div w:id="1326202080">
                  <w:marLeft w:val="0"/>
                  <w:marRight w:val="0"/>
                  <w:marTop w:val="0"/>
                  <w:marBottom w:val="0"/>
                  <w:divBdr>
                    <w:top w:val="none" w:sz="0" w:space="0" w:color="auto"/>
                    <w:left w:val="none" w:sz="0" w:space="0" w:color="auto"/>
                    <w:bottom w:val="none" w:sz="0" w:space="0" w:color="auto"/>
                    <w:right w:val="none" w:sz="0" w:space="0" w:color="auto"/>
                  </w:divBdr>
                  <w:divsChild>
                    <w:div w:id="1117335297">
                      <w:marLeft w:val="0"/>
                      <w:marRight w:val="0"/>
                      <w:marTop w:val="0"/>
                      <w:marBottom w:val="0"/>
                      <w:divBdr>
                        <w:top w:val="none" w:sz="0" w:space="0" w:color="auto"/>
                        <w:left w:val="none" w:sz="0" w:space="0" w:color="auto"/>
                        <w:bottom w:val="none" w:sz="0" w:space="0" w:color="auto"/>
                        <w:right w:val="none" w:sz="0" w:space="0" w:color="auto"/>
                      </w:divBdr>
                      <w:divsChild>
                        <w:div w:id="1808468077">
                          <w:marLeft w:val="0"/>
                          <w:marRight w:val="0"/>
                          <w:marTop w:val="0"/>
                          <w:marBottom w:val="0"/>
                          <w:divBdr>
                            <w:top w:val="none" w:sz="0" w:space="0" w:color="auto"/>
                            <w:left w:val="none" w:sz="0" w:space="0" w:color="auto"/>
                            <w:bottom w:val="none" w:sz="0" w:space="0" w:color="auto"/>
                            <w:right w:val="none" w:sz="0" w:space="0" w:color="auto"/>
                          </w:divBdr>
                          <w:divsChild>
                            <w:div w:id="758214326">
                              <w:marLeft w:val="0"/>
                              <w:marRight w:val="0"/>
                              <w:marTop w:val="0"/>
                              <w:marBottom w:val="0"/>
                              <w:divBdr>
                                <w:top w:val="none" w:sz="0" w:space="0" w:color="auto"/>
                                <w:left w:val="none" w:sz="0" w:space="0" w:color="auto"/>
                                <w:bottom w:val="none" w:sz="0" w:space="0" w:color="auto"/>
                                <w:right w:val="none" w:sz="0" w:space="0" w:color="auto"/>
                              </w:divBdr>
                              <w:divsChild>
                                <w:div w:id="1866363503">
                                  <w:marLeft w:val="0"/>
                                  <w:marRight w:val="0"/>
                                  <w:marTop w:val="0"/>
                                  <w:marBottom w:val="0"/>
                                  <w:divBdr>
                                    <w:top w:val="none" w:sz="0" w:space="0" w:color="auto"/>
                                    <w:left w:val="none" w:sz="0" w:space="0" w:color="auto"/>
                                    <w:bottom w:val="none" w:sz="0" w:space="0" w:color="auto"/>
                                    <w:right w:val="none" w:sz="0" w:space="0" w:color="auto"/>
                                  </w:divBdr>
                                  <w:divsChild>
                                    <w:div w:id="1278830615">
                                      <w:marLeft w:val="0"/>
                                      <w:marRight w:val="0"/>
                                      <w:marTop w:val="0"/>
                                      <w:marBottom w:val="0"/>
                                      <w:divBdr>
                                        <w:top w:val="none" w:sz="0" w:space="0" w:color="auto"/>
                                        <w:left w:val="none" w:sz="0" w:space="0" w:color="auto"/>
                                        <w:bottom w:val="none" w:sz="0" w:space="0" w:color="auto"/>
                                        <w:right w:val="none" w:sz="0" w:space="0" w:color="auto"/>
                                      </w:divBdr>
                                      <w:divsChild>
                                        <w:div w:id="562956427">
                                          <w:marLeft w:val="0"/>
                                          <w:marRight w:val="0"/>
                                          <w:marTop w:val="0"/>
                                          <w:marBottom w:val="0"/>
                                          <w:divBdr>
                                            <w:top w:val="none" w:sz="0" w:space="0" w:color="auto"/>
                                            <w:left w:val="none" w:sz="0" w:space="0" w:color="auto"/>
                                            <w:bottom w:val="none" w:sz="0" w:space="0" w:color="auto"/>
                                            <w:right w:val="none" w:sz="0" w:space="0" w:color="auto"/>
                                          </w:divBdr>
                                          <w:divsChild>
                                            <w:div w:id="120534494">
                                              <w:marLeft w:val="0"/>
                                              <w:marRight w:val="0"/>
                                              <w:marTop w:val="0"/>
                                              <w:marBottom w:val="0"/>
                                              <w:divBdr>
                                                <w:top w:val="none" w:sz="0" w:space="0" w:color="auto"/>
                                                <w:left w:val="none" w:sz="0" w:space="0" w:color="auto"/>
                                                <w:bottom w:val="none" w:sz="0" w:space="0" w:color="auto"/>
                                                <w:right w:val="none" w:sz="0" w:space="0" w:color="auto"/>
                                              </w:divBdr>
                                            </w:div>
                                            <w:div w:id="290669703">
                                              <w:marLeft w:val="0"/>
                                              <w:marRight w:val="0"/>
                                              <w:marTop w:val="0"/>
                                              <w:marBottom w:val="0"/>
                                              <w:divBdr>
                                                <w:top w:val="none" w:sz="0" w:space="0" w:color="auto"/>
                                                <w:left w:val="none" w:sz="0" w:space="0" w:color="auto"/>
                                                <w:bottom w:val="none" w:sz="0" w:space="0" w:color="auto"/>
                                                <w:right w:val="none" w:sz="0" w:space="0" w:color="auto"/>
                                              </w:divBdr>
                                            </w:div>
                                            <w:div w:id="218178634">
                                              <w:marLeft w:val="0"/>
                                              <w:marRight w:val="0"/>
                                              <w:marTop w:val="0"/>
                                              <w:marBottom w:val="0"/>
                                              <w:divBdr>
                                                <w:top w:val="none" w:sz="0" w:space="0" w:color="auto"/>
                                                <w:left w:val="none" w:sz="0" w:space="0" w:color="auto"/>
                                                <w:bottom w:val="none" w:sz="0" w:space="0" w:color="auto"/>
                                                <w:right w:val="none" w:sz="0" w:space="0" w:color="auto"/>
                                              </w:divBdr>
                                            </w:div>
                                            <w:div w:id="1245601669">
                                              <w:marLeft w:val="0"/>
                                              <w:marRight w:val="0"/>
                                              <w:marTop w:val="0"/>
                                              <w:marBottom w:val="0"/>
                                              <w:divBdr>
                                                <w:top w:val="none" w:sz="0" w:space="0" w:color="auto"/>
                                                <w:left w:val="none" w:sz="0" w:space="0" w:color="auto"/>
                                                <w:bottom w:val="none" w:sz="0" w:space="0" w:color="auto"/>
                                                <w:right w:val="none" w:sz="0" w:space="0" w:color="auto"/>
                                              </w:divBdr>
                                            </w:div>
                                            <w:div w:id="54816284">
                                              <w:marLeft w:val="0"/>
                                              <w:marRight w:val="0"/>
                                              <w:marTop w:val="0"/>
                                              <w:marBottom w:val="0"/>
                                              <w:divBdr>
                                                <w:top w:val="none" w:sz="0" w:space="0" w:color="auto"/>
                                                <w:left w:val="none" w:sz="0" w:space="0" w:color="auto"/>
                                                <w:bottom w:val="none" w:sz="0" w:space="0" w:color="auto"/>
                                                <w:right w:val="none" w:sz="0" w:space="0" w:color="auto"/>
                                              </w:divBdr>
                                            </w:div>
                                            <w:div w:id="1398742267">
                                              <w:marLeft w:val="0"/>
                                              <w:marRight w:val="0"/>
                                              <w:marTop w:val="0"/>
                                              <w:marBottom w:val="0"/>
                                              <w:divBdr>
                                                <w:top w:val="none" w:sz="0" w:space="0" w:color="auto"/>
                                                <w:left w:val="none" w:sz="0" w:space="0" w:color="auto"/>
                                                <w:bottom w:val="none" w:sz="0" w:space="0" w:color="auto"/>
                                                <w:right w:val="none" w:sz="0" w:space="0" w:color="auto"/>
                                              </w:divBdr>
                                            </w:div>
                                            <w:div w:id="1404639536">
                                              <w:marLeft w:val="0"/>
                                              <w:marRight w:val="0"/>
                                              <w:marTop w:val="0"/>
                                              <w:marBottom w:val="0"/>
                                              <w:divBdr>
                                                <w:top w:val="none" w:sz="0" w:space="0" w:color="auto"/>
                                                <w:left w:val="none" w:sz="0" w:space="0" w:color="auto"/>
                                                <w:bottom w:val="none" w:sz="0" w:space="0" w:color="auto"/>
                                                <w:right w:val="none" w:sz="0" w:space="0" w:color="auto"/>
                                              </w:divBdr>
                                            </w:div>
                                            <w:div w:id="1264537938">
                                              <w:marLeft w:val="0"/>
                                              <w:marRight w:val="0"/>
                                              <w:marTop w:val="0"/>
                                              <w:marBottom w:val="0"/>
                                              <w:divBdr>
                                                <w:top w:val="none" w:sz="0" w:space="0" w:color="auto"/>
                                                <w:left w:val="none" w:sz="0" w:space="0" w:color="auto"/>
                                                <w:bottom w:val="none" w:sz="0" w:space="0" w:color="auto"/>
                                                <w:right w:val="none" w:sz="0" w:space="0" w:color="auto"/>
                                              </w:divBdr>
                                            </w:div>
                                            <w:div w:id="1166940612">
                                              <w:marLeft w:val="0"/>
                                              <w:marRight w:val="0"/>
                                              <w:marTop w:val="0"/>
                                              <w:marBottom w:val="0"/>
                                              <w:divBdr>
                                                <w:top w:val="none" w:sz="0" w:space="0" w:color="auto"/>
                                                <w:left w:val="none" w:sz="0" w:space="0" w:color="auto"/>
                                                <w:bottom w:val="none" w:sz="0" w:space="0" w:color="auto"/>
                                                <w:right w:val="none" w:sz="0" w:space="0" w:color="auto"/>
                                              </w:divBdr>
                                            </w:div>
                                            <w:div w:id="2736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133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dc:creator>
  <cp:lastModifiedBy>Anke Dittrich</cp:lastModifiedBy>
  <cp:revision>5</cp:revision>
  <cp:lastPrinted>2016-04-22T06:58:00Z</cp:lastPrinted>
  <dcterms:created xsi:type="dcterms:W3CDTF">2016-04-22T06:47:00Z</dcterms:created>
  <dcterms:modified xsi:type="dcterms:W3CDTF">2020-04-01T07:55:00Z</dcterms:modified>
</cp:coreProperties>
</file>